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29" w:rsidRDefault="00900A29" w:rsidP="00900A29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:rsidR="00900A29" w:rsidRDefault="00900A29" w:rsidP="00900A29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</w:p>
    <w:p w:rsidR="00900A29" w:rsidRPr="008F554D" w:rsidRDefault="00900A29" w:rsidP="00900A29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</w:p>
    <w:p w:rsidR="00900A29" w:rsidRPr="008D7687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4"/>
          <w:szCs w:val="14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00A29" w:rsidRPr="008F554D" w:rsidTr="00972E65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00A29" w:rsidRPr="008F554D" w:rsidTr="00972E6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00A29" w:rsidRPr="008F554D" w:rsidTr="00972E65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58163E">
              <w:rPr>
                <w:rFonts w:ascii="Arial" w:hAnsi="Arial" w:cs="Arial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00A29" w:rsidRPr="008F554D" w:rsidTr="00972E6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8F554D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58163E">
              <w:rPr>
                <w:rFonts w:ascii="Arial" w:hAnsi="Arial" w:cs="Arial"/>
                <w:lang w:val="es-BO"/>
              </w:rPr>
              <w:t xml:space="preserve">AETN-RPA-DAF N° </w:t>
            </w:r>
            <w:r>
              <w:rPr>
                <w:rFonts w:ascii="Arial" w:hAnsi="Arial" w:cs="Arial"/>
                <w:lang w:val="es-BO"/>
              </w:rPr>
              <w:t>48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900A29" w:rsidRPr="008F554D" w:rsidTr="00972E65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proofErr w:type="spellStart"/>
            <w:r w:rsidRPr="008F554D">
              <w:rPr>
                <w:rFonts w:ascii="Arial" w:hAnsi="Arial" w:cs="Arial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317"/>
        <w:gridCol w:w="315"/>
        <w:gridCol w:w="315"/>
        <w:gridCol w:w="309"/>
        <w:gridCol w:w="312"/>
        <w:gridCol w:w="312"/>
        <w:gridCol w:w="315"/>
        <w:gridCol w:w="312"/>
        <w:gridCol w:w="312"/>
        <w:gridCol w:w="405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227"/>
      </w:tblGrid>
      <w:tr w:rsidR="00900A29" w:rsidRPr="008F554D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00A29" w:rsidRPr="008F554D" w:rsidTr="00972E65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Revalúo Técnico de Activos Fijos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both"/>
              <w:rPr>
                <w:rFonts w:ascii="Arial" w:hAnsi="Arial" w:cs="Arial"/>
                <w:b/>
                <w:lang w:val="es-BO"/>
              </w:rPr>
            </w:pPr>
            <w:proofErr w:type="spellStart"/>
            <w:r w:rsidRPr="00D10436">
              <w:rPr>
                <w:rFonts w:ascii="Arial" w:hAnsi="Arial" w:cs="Arial"/>
                <w:b/>
                <w:i/>
                <w:lang w:val="es-BO"/>
              </w:rPr>
              <w:t>Bs126.000,00</w:t>
            </w:r>
            <w:proofErr w:type="spellEnd"/>
            <w:r w:rsidRPr="00D10436">
              <w:rPr>
                <w:rFonts w:ascii="Arial" w:hAnsi="Arial" w:cs="Arial"/>
                <w:b/>
                <w:i/>
                <w:lang w:val="es-BO"/>
              </w:rPr>
              <w:t xml:space="preserve"> (Ciento veintiséis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>oventa (90) días calendario a partir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>l</w:t>
            </w:r>
            <w:r>
              <w:rPr>
                <w:rFonts w:ascii="Arial" w:hAnsi="Arial" w:cs="Arial"/>
                <w:b/>
                <w:i/>
                <w:lang w:val="es-BO"/>
              </w:rPr>
              <w:t>a</w:t>
            </w:r>
            <w:r w:rsidRPr="00297166">
              <w:rPr>
                <w:rFonts w:ascii="Arial" w:hAnsi="Arial" w:cs="Arial"/>
                <w:b/>
                <w:i/>
                <w:lang w:val="es-BO"/>
              </w:rPr>
              <w:t xml:space="preserve"> firma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8578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73"/>
              <w:gridCol w:w="7605"/>
            </w:tblGrid>
            <w:tr w:rsidR="00900A29" w:rsidRPr="008D7687" w:rsidTr="00972E65">
              <w:trPr>
                <w:trHeight w:val="261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900A29" w:rsidRPr="008D7687" w:rsidRDefault="00900A29" w:rsidP="00972E6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DPTO.</w:t>
                  </w:r>
                </w:p>
              </w:tc>
              <w:tc>
                <w:tcPr>
                  <w:tcW w:w="7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900A29" w:rsidRPr="008D7687" w:rsidRDefault="00900A29" w:rsidP="00972E6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UBICACIÓN</w:t>
                  </w:r>
                </w:p>
              </w:tc>
            </w:tr>
            <w:tr w:rsidR="00900A29" w:rsidRPr="008D7687" w:rsidTr="00972E65">
              <w:trPr>
                <w:trHeight w:val="284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Edificio AETN N° 1571, Av. 16 de julio (El Prado)</w:t>
                  </w:r>
                </w:p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El Alto, Edif. Torre León Bloque A Of. A-17, Av. 6 de Marzo, N° 450 (entre calles 4 y 5) zona 12 de Octubre, El Alto</w:t>
                  </w:r>
                </w:p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Archivo Central, Zona de Tembladerani, Calle Valentín </w:t>
                  </w:r>
                  <w:proofErr w:type="spellStart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Abecia</w:t>
                  </w:r>
                  <w:proofErr w:type="spellEnd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N° 1850</w:t>
                  </w:r>
                </w:p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Oficina Regional, Zona de San Jorge, Av. 6 de Agosto N° 2905</w:t>
                  </w:r>
                </w:p>
              </w:tc>
            </w:tr>
            <w:tr w:rsidR="00900A29" w:rsidRPr="008D7687" w:rsidTr="00972E65">
              <w:trPr>
                <w:trHeight w:val="284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Santa Cruz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Oficina Regional de Santa Cruz, Edif. </w:t>
                  </w:r>
                  <w:proofErr w:type="spellStart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Millennial</w:t>
                  </w:r>
                  <w:proofErr w:type="spellEnd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Tower N° 949, Calle 21 de Mayo (entre Busch y Cañada </w:t>
                  </w:r>
                  <w:proofErr w:type="spellStart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Strongest</w:t>
                  </w:r>
                  <w:proofErr w:type="spellEnd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)</w:t>
                  </w:r>
                </w:p>
              </w:tc>
            </w:tr>
            <w:tr w:rsidR="00900A29" w:rsidRPr="008D7687" w:rsidTr="00972E65">
              <w:trPr>
                <w:trHeight w:val="284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Cochabamba, Av. Humboldt, Nº 746, Puente Cobija.</w:t>
                  </w:r>
                </w:p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Chimoré, calle Los Pinos esq. Calle Las Palmas, plaza principal de Chimoré (Lado Norte), S/N</w:t>
                  </w:r>
                </w:p>
              </w:tc>
            </w:tr>
            <w:tr w:rsidR="00900A29" w:rsidRPr="008D7687" w:rsidTr="00972E65">
              <w:trPr>
                <w:trHeight w:val="284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Tarija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Oficina Regional ciudad de Tarija, Calle </w:t>
                  </w:r>
                  <w:proofErr w:type="spellStart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Bolivar</w:t>
                  </w:r>
                  <w:proofErr w:type="spellEnd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N° 327, esquina calle Méndez, </w:t>
                  </w:r>
                  <w:proofErr w:type="spellStart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1er</w:t>
                  </w:r>
                  <w:proofErr w:type="spellEnd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piso.</w:t>
                  </w:r>
                </w:p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Oficina Regional de Yacuiba, Calle Cochabamba Nº 433 entre Av. Santa Cruz y </w:t>
                  </w:r>
                  <w:proofErr w:type="spellStart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Ballivian</w:t>
                  </w:r>
                  <w:proofErr w:type="spellEnd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, zona Central.</w:t>
                  </w:r>
                </w:p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Bermejo, Av. Barrientos entre Santa Cruz y Potosí, S/N, zona Miraflores.</w:t>
                  </w:r>
                </w:p>
              </w:tc>
            </w:tr>
            <w:tr w:rsidR="00900A29" w:rsidRPr="008D7687" w:rsidTr="00972E65">
              <w:trPr>
                <w:trHeight w:val="284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Sucre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Sucre, Calle Loa Nº 672, entre calle Ayacucho y Arenales, zona Central.</w:t>
                  </w:r>
                </w:p>
              </w:tc>
            </w:tr>
            <w:tr w:rsidR="00900A29" w:rsidRPr="008D7687" w:rsidTr="00972E65">
              <w:trPr>
                <w:trHeight w:val="284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Pando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Cobija, Av. José Manuel Pando S/N esq. Av. 27 de Mayo.</w:t>
                  </w:r>
                </w:p>
              </w:tc>
            </w:tr>
            <w:tr w:rsidR="00900A29" w:rsidRPr="008D7687" w:rsidTr="00972E65">
              <w:trPr>
                <w:trHeight w:val="284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Beni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Oficina Regional de Trinidad, Calle Gil Coímbra Nº 50, entre Calle 18 de Noviembre y Santa Cruz, frente a  ENDE TRINIDAD </w:t>
                  </w:r>
                  <w:proofErr w:type="spellStart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S.A.M</w:t>
                  </w:r>
                  <w:proofErr w:type="spellEnd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.</w:t>
                  </w:r>
                </w:p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Oficina Regional de Riberalta, Calle Máximo </w:t>
                  </w:r>
                  <w:proofErr w:type="spellStart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Henicke</w:t>
                  </w:r>
                  <w:proofErr w:type="spellEnd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esq. calle Dr. Martínez, S/N.</w:t>
                  </w:r>
                </w:p>
              </w:tc>
            </w:tr>
            <w:tr w:rsidR="00900A29" w:rsidRPr="008D7687" w:rsidTr="00972E65">
              <w:trPr>
                <w:trHeight w:val="284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Oruro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Oficina Regional de Oruro, Calle 12 de Octubre  N° 440, esq. final </w:t>
                  </w:r>
                  <w:proofErr w:type="spellStart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Catacora</w:t>
                  </w:r>
                  <w:proofErr w:type="spellEnd"/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, zona Sud</w:t>
                  </w:r>
                </w:p>
              </w:tc>
            </w:tr>
            <w:tr w:rsidR="00900A29" w:rsidRPr="008D7687" w:rsidTr="00972E65">
              <w:trPr>
                <w:trHeight w:val="284"/>
              </w:trPr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Potosí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0A29" w:rsidRPr="008D7687" w:rsidRDefault="00900A29" w:rsidP="00972E65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</w:pPr>
                  <w:r w:rsidRPr="008D7687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Oficina Regional de Potosí, Calle Padilla N° 20 (pasaje Boulevard) entre calle Linares y Hoyos, Edif. “EL SIGLO”.</w:t>
                  </w:r>
                </w:p>
              </w:tc>
            </w:tr>
          </w:tbl>
          <w:p w:rsidR="00900A29" w:rsidRPr="008F554D" w:rsidRDefault="00900A29" w:rsidP="00972E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D7687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D7687" w:rsidRDefault="00900A29" w:rsidP="00972E65">
            <w:pPr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03FF4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D7687" w:rsidTr="00972E65">
        <w:trPr>
          <w:jc w:val="center"/>
        </w:trPr>
        <w:tc>
          <w:tcPr>
            <w:tcW w:w="234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D7687" w:rsidRDefault="00900A29" w:rsidP="00972E65">
            <w:pPr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00A29" w:rsidRPr="008F554D" w:rsidTr="00972E6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900A29" w:rsidRPr="008D7687" w:rsidTr="00972E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D7687" w:rsidRDefault="00900A29" w:rsidP="00972E65">
            <w:pPr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D7687" w:rsidRDefault="00900A29" w:rsidP="00972E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00A29" w:rsidRPr="008F554D" w:rsidRDefault="00900A29" w:rsidP="00972E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00A2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  <w:bookmarkStart w:id="3" w:name="_GoBack"/>
            <w:bookmarkEnd w:id="3"/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00A29" w:rsidRPr="008F554D" w:rsidTr="00900A29">
        <w:trPr>
          <w:trHeight w:val="631"/>
          <w:jc w:val="center"/>
        </w:trPr>
        <w:tc>
          <w:tcPr>
            <w:tcW w:w="10346" w:type="dxa"/>
            <w:gridSpan w:val="3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00A29" w:rsidRPr="00A10E16" w:rsidRDefault="00900A29" w:rsidP="00900A2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lastRenderedPageBreak/>
              <w:t>INFORMACIÓN DEL DOCUMENTO BASE DE CONTRATACIÓN (</w:t>
            </w:r>
            <w:proofErr w:type="spellStart"/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DBC</w:t>
            </w:r>
            <w:proofErr w:type="spellEnd"/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900A29" w:rsidRPr="008F554D" w:rsidRDefault="00900A29" w:rsidP="00972E6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</w:t>
            </w:r>
            <w:proofErr w:type="spellStart"/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DBC</w:t>
            </w:r>
            <w:proofErr w:type="spellEnd"/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) en el sitio Web del SICOES y obtener información de la entidad de acuerdo con los siguientes datos:</w:t>
            </w: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08:00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Juan Carlos Ferrano Condori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Activos Fijos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301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jferrano@aetn.gob.bo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0A29" w:rsidRPr="008F554D" w:rsidTr="00972E65">
        <w:trPr>
          <w:trHeight w:val="275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CD31EB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</w:tcPr>
          <w:p w:rsidR="00900A29" w:rsidRDefault="00900A29" w:rsidP="00972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00A29" w:rsidRDefault="00900A29" w:rsidP="00972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00A29" w:rsidRDefault="00900A29" w:rsidP="00972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00A29" w:rsidRDefault="00900A29" w:rsidP="00972E6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900A29" w:rsidRPr="00C5491D" w:rsidRDefault="00900A29" w:rsidP="00972E65">
            <w:pPr>
              <w:rPr>
                <w:rFonts w:ascii="Arial" w:hAnsi="Arial" w:cs="Arial"/>
                <w:b/>
                <w:u w:val="single"/>
                <w:lang w:val="es-BO"/>
              </w:rPr>
            </w:pPr>
            <w:r w:rsidRPr="009E1E89">
              <w:rPr>
                <w:rFonts w:ascii="Arial" w:hAnsi="Arial" w:cs="Arial"/>
                <w:b/>
                <w:highlight w:val="yellow"/>
                <w:u w:val="single"/>
                <w:lang w:val="es-BO"/>
              </w:rPr>
              <w:t>“No se solicita garantía de seriedad de propuesta”</w:t>
            </w:r>
          </w:p>
        </w:tc>
        <w:tc>
          <w:tcPr>
            <w:tcW w:w="273" w:type="dxa"/>
            <w:tcBorders>
              <w:left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00A29" w:rsidRPr="008F554D" w:rsidTr="00972E65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900A29" w:rsidRPr="008F554D" w:rsidRDefault="00900A29" w:rsidP="00972E6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900A29" w:rsidRPr="008F554D" w:rsidRDefault="00900A29" w:rsidP="00972E6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900A29" w:rsidRPr="008F554D" w:rsidRDefault="00900A29" w:rsidP="00900A29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900A29" w:rsidRPr="008F554D" w:rsidTr="00972E65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900A29" w:rsidRPr="008F554D" w:rsidRDefault="00900A29" w:rsidP="00972E6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900A29" w:rsidRPr="008F554D" w:rsidTr="00972E65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00A29" w:rsidRPr="008F554D" w:rsidRDefault="00900A29" w:rsidP="00972E65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>De acuerdo con lo establecido en el Artículo 47 de las NB-</w:t>
            </w:r>
            <w:proofErr w:type="spellStart"/>
            <w:r w:rsidRPr="008F554D">
              <w:rPr>
                <w:lang w:val="es-BO"/>
              </w:rPr>
              <w:t>SABS</w:t>
            </w:r>
            <w:proofErr w:type="spellEnd"/>
            <w:r w:rsidRPr="008F554D">
              <w:rPr>
                <w:lang w:val="es-BO"/>
              </w:rPr>
              <w:t xml:space="preserve">, los siguientes plazos son de cumplimiento obligatorio: </w:t>
            </w:r>
          </w:p>
          <w:p w:rsidR="00900A29" w:rsidRPr="008F554D" w:rsidRDefault="00900A29" w:rsidP="00972E65">
            <w:pPr>
              <w:ind w:left="510" w:right="113"/>
              <w:jc w:val="both"/>
              <w:rPr>
                <w:lang w:val="es-BO"/>
              </w:rPr>
            </w:pPr>
          </w:p>
          <w:p w:rsidR="00900A29" w:rsidRPr="008F554D" w:rsidRDefault="00900A29" w:rsidP="00972E65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900A29" w:rsidRPr="008F554D" w:rsidRDefault="00900A29" w:rsidP="00972E65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900A29" w:rsidRPr="008F554D" w:rsidRDefault="00900A29" w:rsidP="00900A29">
            <w:pPr>
              <w:pStyle w:val="Prrafodelista"/>
              <w:numPr>
                <w:ilvl w:val="0"/>
                <w:numId w:val="9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Para contrataciones hasta </w:t>
            </w:r>
            <w:proofErr w:type="spellStart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Bs.200.000</w:t>
            </w:r>
            <w:proofErr w:type="spellEnd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.- (DOSCIENTOS MIL 00/100 BOLIVIANOS), plazo mínimo cuatro (4) días hábiles. Para contrataciones mayores a </w:t>
            </w:r>
            <w:proofErr w:type="spellStart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Bs.200.000</w:t>
            </w:r>
            <w:proofErr w:type="spellEnd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Bs1.000.000</w:t>
            </w:r>
            <w:proofErr w:type="spellEnd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.- (UN MILLÓN 00/100 BOLIVIANOS), plazo mínimo ocho (8) días hábiles, ambos computables a partir del día siguiente hábil de la publicación de la convocatoria;</w:t>
            </w:r>
          </w:p>
          <w:p w:rsidR="00900A29" w:rsidRPr="008F554D" w:rsidRDefault="00900A29" w:rsidP="00972E65">
            <w:pPr>
              <w:ind w:left="510" w:right="113"/>
              <w:jc w:val="both"/>
              <w:rPr>
                <w:lang w:val="es-BO"/>
              </w:rPr>
            </w:pPr>
          </w:p>
          <w:p w:rsidR="00900A29" w:rsidRPr="008F554D" w:rsidRDefault="00900A29" w:rsidP="00972E65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900A29" w:rsidRPr="008F554D" w:rsidRDefault="00900A29" w:rsidP="00972E65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900A29" w:rsidRPr="008F554D" w:rsidRDefault="00900A29" w:rsidP="00972E65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Bs200.000</w:t>
            </w:r>
            <w:proofErr w:type="spellEnd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Bs1.000.000</w:t>
            </w:r>
            <w:proofErr w:type="spellEnd"/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.- (UN MILLÓN 00/100 BOLIVIANOS) en cuyo caso el cronograma deberá considerar tres (3) días hábiles computables a partir del día siguiente hábil de la notificación de la Resolución Impugnable.</w:t>
            </w:r>
          </w:p>
          <w:p w:rsidR="00900A29" w:rsidRPr="008F554D" w:rsidRDefault="00900A29" w:rsidP="00972E65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900A29" w:rsidRPr="008F554D" w:rsidRDefault="00900A29" w:rsidP="00972E65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900A29" w:rsidRPr="008F554D" w:rsidTr="00972E65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00A29" w:rsidRPr="008F554D" w:rsidRDefault="00900A29" w:rsidP="00972E6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Publicación del </w:t>
            </w:r>
            <w:proofErr w:type="spellStart"/>
            <w:r w:rsidRPr="008F554D">
              <w:rPr>
                <w:rFonts w:ascii="Arial" w:hAnsi="Arial" w:cs="Arial"/>
                <w:lang w:val="es-BO"/>
              </w:rPr>
              <w:t>DBC</w:t>
            </w:r>
            <w:proofErr w:type="spellEnd"/>
            <w:r w:rsidRPr="008F554D">
              <w:rPr>
                <w:rFonts w:ascii="Arial" w:hAnsi="Arial" w:cs="Arial"/>
                <w:lang w:val="es-BO"/>
              </w:rPr>
              <w:t xml:space="preserve">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5491D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130C9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8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Pr="00B130C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130C9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022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Default="00900A29" w:rsidP="00972E6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Presentación de propuestas:</w:t>
            </w:r>
          </w:p>
          <w:p w:rsidR="00900A29" w:rsidRDefault="00900A29" w:rsidP="00972E6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D36F54">
              <w:rPr>
                <w:rFonts w:ascii="Arial" w:hAnsi="Arial" w:cs="Arial"/>
                <w:i/>
                <w:lang w:val="es-BO"/>
              </w:rPr>
              <w:t xml:space="preserve">Plataforma </w:t>
            </w:r>
            <w:proofErr w:type="spellStart"/>
            <w:r w:rsidRPr="00D36F54">
              <w:rPr>
                <w:rFonts w:ascii="Arial" w:hAnsi="Arial" w:cs="Arial"/>
                <w:i/>
                <w:lang w:val="es-BO"/>
              </w:rPr>
              <w:t>RUPE</w:t>
            </w:r>
            <w:proofErr w:type="spellEnd"/>
          </w:p>
          <w:p w:rsidR="00900A29" w:rsidRPr="00D36F54" w:rsidRDefault="00900A29" w:rsidP="00972E6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900A29" w:rsidRPr="00D36F54" w:rsidRDefault="00900A29" w:rsidP="00972E6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D36F54">
              <w:rPr>
                <w:rFonts w:ascii="Arial" w:hAnsi="Arial" w:cs="Arial"/>
                <w:b/>
                <w:lang w:val="es-BO"/>
              </w:rPr>
              <w:t>Apertura de propuestas</w:t>
            </w:r>
            <w:r>
              <w:rPr>
                <w:rFonts w:ascii="Arial" w:hAnsi="Arial" w:cs="Arial"/>
                <w:b/>
                <w:lang w:val="es-BO"/>
              </w:rPr>
              <w:t>:</w:t>
            </w:r>
          </w:p>
          <w:p w:rsidR="00900A29" w:rsidRPr="00D36F54" w:rsidRDefault="00900A29" w:rsidP="00972E6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D36F54">
              <w:rPr>
                <w:rFonts w:ascii="Arial" w:hAnsi="Arial" w:cs="Arial"/>
                <w:b/>
                <w:lang w:val="es-BO"/>
              </w:rPr>
              <w:t>Presencial:</w:t>
            </w:r>
          </w:p>
          <w:p w:rsidR="00900A29" w:rsidRPr="00D36F54" w:rsidRDefault="00900A29" w:rsidP="00972E6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D36F54">
              <w:rPr>
                <w:rFonts w:ascii="Arial" w:hAnsi="Arial" w:cs="Arial"/>
                <w:lang w:val="es-BO"/>
              </w:rPr>
              <w:t>La Paz, Avenida 16 de julio N° 1571.</w:t>
            </w:r>
          </w:p>
          <w:p w:rsidR="00900A29" w:rsidRPr="00D36F54" w:rsidRDefault="00900A29" w:rsidP="00972E6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D36F54">
              <w:rPr>
                <w:rFonts w:ascii="Arial" w:hAnsi="Arial" w:cs="Arial"/>
                <w:b/>
                <w:lang w:val="es-BO"/>
              </w:rPr>
              <w:t>Virtual:</w:t>
            </w:r>
          </w:p>
          <w:p w:rsidR="00900A29" w:rsidRPr="00D36F54" w:rsidRDefault="00900A29" w:rsidP="00972E6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D36F54">
              <w:rPr>
                <w:rFonts w:ascii="Arial" w:hAnsi="Arial" w:cs="Arial"/>
                <w:lang w:val="es-BO"/>
              </w:rPr>
              <w:t>https://meetcb.aetn.gob.bo/APERTURA-PROPUESTAS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7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00A29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00A29" w:rsidRPr="008F554D" w:rsidTr="00972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0A29" w:rsidRPr="008F554D" w:rsidRDefault="00900A29" w:rsidP="00972E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00A29" w:rsidRPr="008F554D" w:rsidRDefault="00900A29" w:rsidP="00972E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00A29" w:rsidRDefault="00900A29" w:rsidP="00900A29">
      <w:pPr>
        <w:pStyle w:val="Ttulo"/>
        <w:spacing w:before="0" w:after="0"/>
        <w:ind w:left="432"/>
        <w:jc w:val="both"/>
        <w:rPr>
          <w:rFonts w:cs="Arial"/>
          <w:i/>
        </w:rPr>
      </w:pPr>
      <w:bookmarkStart w:id="4" w:name="_Hlk76739823"/>
    </w:p>
    <w:bookmarkEnd w:id="4"/>
    <w:p w:rsidR="00900A29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900A29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900A29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900A29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900A29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900A29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900A29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900A29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900A29" w:rsidRDefault="00900A29" w:rsidP="00900A29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p w:rsidR="00907713" w:rsidRDefault="00907713"/>
    <w:sectPr w:rsidR="00907713" w:rsidSect="001A5A1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12"/>
    <w:rsid w:val="001A5A12"/>
    <w:rsid w:val="00900A29"/>
    <w:rsid w:val="009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A5A1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1A5A1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1A5A1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1A5A12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1A5A1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A5A1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1A5A1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A12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1A5A12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1A5A1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A5A12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1A5A1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A5A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1A5A1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A5A1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A5A1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A5A1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1A5A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A5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A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A5A1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5A12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1A5A1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A5A1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A5A1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1A5A12"/>
  </w:style>
  <w:style w:type="table" w:styleId="Tablaconcuadrcula">
    <w:name w:val="Table Grid"/>
    <w:basedOn w:val="Tablanormal"/>
    <w:uiPriority w:val="39"/>
    <w:rsid w:val="001A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1A5A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A5A12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1A5A12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A12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A1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1A5A12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A5A12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1A5A1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1A5A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A12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A12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A5A1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A5A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1A5A1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A5A1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5A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A5A12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link w:val="Prrafodelista"/>
    <w:uiPriority w:val="34"/>
    <w:locked/>
    <w:rsid w:val="001A5A12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1A5A12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1A5A12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A5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5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1A5A1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1A5A12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A5A12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1A5A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1A5A12"/>
    <w:pPr>
      <w:ind w:left="720"/>
    </w:pPr>
    <w:rPr>
      <w:rFonts w:ascii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A5A1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1A5A1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1A5A1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1A5A12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1A5A1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A5A1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qFormat/>
    <w:rsid w:val="001A5A1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A12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1A5A12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1A5A1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A5A12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1A5A1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A5A1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1A5A1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A5A1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A5A1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A5A1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1A5A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A5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A1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A5A1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5A12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1A5A1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A5A1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1A5A1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1A5A12"/>
  </w:style>
  <w:style w:type="table" w:styleId="Tablaconcuadrcula">
    <w:name w:val="Table Grid"/>
    <w:basedOn w:val="Tablanormal"/>
    <w:uiPriority w:val="39"/>
    <w:rsid w:val="001A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1A5A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A5A12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rsid w:val="001A5A12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A12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A1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1A5A12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A5A12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1A5A1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nhideWhenUsed/>
    <w:rsid w:val="001A5A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A12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A12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A5A1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A5A1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1A5A1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A5A1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5A1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A5A12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link w:val="Prrafodelista"/>
    <w:uiPriority w:val="34"/>
    <w:locked/>
    <w:rsid w:val="001A5A12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rsid w:val="001A5A12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1A5A12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A5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5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1A5A1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1A5A12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A5A12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1A5A1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1A5A12"/>
    <w:pPr>
      <w:ind w:left="720"/>
    </w:pPr>
    <w:rPr>
      <w:rFonts w:ascii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2</cp:revision>
  <dcterms:created xsi:type="dcterms:W3CDTF">2022-04-22T19:22:00Z</dcterms:created>
  <dcterms:modified xsi:type="dcterms:W3CDTF">2022-04-22T20:01:00Z</dcterms:modified>
</cp:coreProperties>
</file>