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F2" w:rsidRDefault="00DB5CF2" w:rsidP="00DB5CF2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DB5CF2" w:rsidRPr="005B660C" w:rsidRDefault="00DB5CF2" w:rsidP="00DB5CF2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B5CF2" w:rsidRPr="009956C4" w:rsidTr="005659E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B5CF2" w:rsidRPr="009956C4" w:rsidRDefault="00DB5CF2" w:rsidP="005659E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B5CF2" w:rsidRPr="009956C4" w:rsidTr="005659E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DB5CF2" w:rsidRPr="009956C4" w:rsidTr="005659E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B5CF2" w:rsidRPr="009956C4" w:rsidTr="005659E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B5CF2" w:rsidRPr="009956C4" w:rsidTr="005659E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DB5CF2" w:rsidRPr="009956C4" w:rsidTr="005659EF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Renovación Licencias Antivirus, antispam, filtrado Web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93AD2" w:rsidRDefault="00DB5CF2" w:rsidP="005659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065CCF">
              <w:rPr>
                <w:rFonts w:ascii="Arial" w:hAnsi="Arial" w:cs="Arial"/>
                <w:sz w:val="14"/>
                <w:lang w:val="es-BO"/>
              </w:rPr>
              <w:t>Bs52.23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  <w:r w:rsidRPr="00065CCF">
              <w:rPr>
                <w:rFonts w:ascii="Arial" w:hAnsi="Arial" w:cs="Arial"/>
                <w:sz w:val="14"/>
                <w:lang w:val="es-BO"/>
              </w:rPr>
              <w:t>,</w:t>
            </w:r>
            <w:r>
              <w:rPr>
                <w:rFonts w:ascii="Arial" w:hAnsi="Arial" w:cs="Arial"/>
                <w:sz w:val="14"/>
                <w:lang w:val="es-BO"/>
              </w:rPr>
              <w:t>60</w:t>
            </w:r>
            <w:proofErr w:type="spellEnd"/>
            <w:r w:rsidRPr="00065CCF">
              <w:rPr>
                <w:rFonts w:ascii="Arial" w:hAnsi="Arial" w:cs="Arial"/>
                <w:sz w:val="14"/>
                <w:lang w:val="es-BO"/>
              </w:rPr>
              <w:t xml:space="preserve"> (Cincuenta y dos mil doscientos treinta y </w:t>
            </w:r>
            <w:r>
              <w:rPr>
                <w:rFonts w:ascii="Arial" w:hAnsi="Arial" w:cs="Arial"/>
                <w:sz w:val="14"/>
                <w:lang w:val="es-BO"/>
              </w:rPr>
              <w:t>nueve</w:t>
            </w:r>
            <w:r w:rsidRPr="00065CCF">
              <w:rPr>
                <w:rFonts w:ascii="Arial" w:hAnsi="Arial" w:cs="Arial"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sz w:val="14"/>
                <w:lang w:val="es-BO"/>
              </w:rPr>
              <w:t>60</w:t>
            </w:r>
            <w:r w:rsidRPr="00065CCF">
              <w:rPr>
                <w:rFonts w:ascii="Arial" w:hAnsi="Arial" w:cs="Arial"/>
                <w:sz w:val="14"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93AD2" w:rsidRDefault="00DB5CF2" w:rsidP="005659EF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065CCF">
              <w:rPr>
                <w:rFonts w:ascii="Arial" w:hAnsi="Arial" w:cs="Arial"/>
                <w:sz w:val="14"/>
                <w:lang w:val="es-BO"/>
              </w:rPr>
              <w:t>Di</w:t>
            </w:r>
            <w:r>
              <w:rPr>
                <w:rFonts w:ascii="Arial" w:hAnsi="Arial" w:cs="Arial"/>
                <w:sz w:val="14"/>
                <w:lang w:val="es-BO"/>
              </w:rPr>
              <w:t>ez</w:t>
            </w:r>
            <w:r w:rsidRPr="00065CCF">
              <w:rPr>
                <w:rFonts w:ascii="Arial" w:hAnsi="Arial" w:cs="Arial"/>
                <w:sz w:val="14"/>
                <w:lang w:val="es-BO"/>
              </w:rPr>
              <w:t xml:space="preserve"> (1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065CCF">
              <w:rPr>
                <w:rFonts w:ascii="Arial" w:hAnsi="Arial" w:cs="Arial"/>
                <w:sz w:val="14"/>
                <w:lang w:val="es-BO"/>
              </w:rPr>
              <w:t>) días calendario, a partir del día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B5CF2" w:rsidRPr="00A93AD2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93AD2" w:rsidRDefault="00DB5CF2" w:rsidP="005659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204B2">
              <w:rPr>
                <w:rFonts w:ascii="Arial" w:hAnsi="Arial" w:cs="Arial"/>
                <w:sz w:val="14"/>
                <w:lang w:val="es-BO"/>
              </w:rPr>
              <w:t>El proponente deberá presentar una garantía de cumplimiento de contrato por el siete por ciento (7%) o tres punto cinco por ciento (3.5%) según corresponda, del total adjudicado, con una vigencia mínima de 3 meses.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B5CF2" w:rsidRPr="009956C4" w:rsidTr="005659E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F2" w:rsidRPr="00156685" w:rsidRDefault="00DB5CF2" w:rsidP="005659E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DB5CF2" w:rsidRPr="009956C4" w:rsidTr="005659EF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B5CF2" w:rsidRPr="009956C4" w:rsidRDefault="00DB5CF2" w:rsidP="005659EF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B5CF2" w:rsidRPr="009956C4" w:rsidTr="005659EF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B5CF2" w:rsidRPr="009956C4" w:rsidRDefault="00DB5CF2" w:rsidP="005659E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E0595D" w:rsidRDefault="00DB5CF2" w:rsidP="005659E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C204B2" w:rsidRDefault="00DB5CF2" w:rsidP="005659EF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:30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DB5CF2" w:rsidRPr="009956C4" w:rsidRDefault="00DB5CF2" w:rsidP="005659E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B93470" w:rsidRDefault="00DB5CF2" w:rsidP="005659EF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2607D4" w:rsidRDefault="00DB5CF2" w:rsidP="005659EF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DB5CF2" w:rsidRPr="009956C4" w:rsidRDefault="00DB5CF2" w:rsidP="005659EF">
            <w:pPr>
              <w:rPr>
                <w:rFonts w:ascii="Arial" w:hAnsi="Arial" w:cs="Arial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402294" w:rsidRDefault="00DB5CF2" w:rsidP="005659EF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Default="00DB5CF2" w:rsidP="00565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B5CF2" w:rsidRDefault="00DB5CF2" w:rsidP="00565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B5CF2" w:rsidRDefault="00DB5CF2" w:rsidP="00565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B5CF2" w:rsidRDefault="00DB5CF2" w:rsidP="005659E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57309C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B5CF2" w:rsidRPr="009956C4" w:rsidTr="005659EF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B5CF2" w:rsidRPr="009956C4" w:rsidRDefault="00DB5CF2" w:rsidP="005659E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B5CF2" w:rsidRPr="009956C4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Pr="005B660C" w:rsidRDefault="00DB5CF2" w:rsidP="00DB5CF2">
      <w:pPr>
        <w:rPr>
          <w:lang w:val="es-BO"/>
        </w:rPr>
      </w:pPr>
    </w:p>
    <w:p w:rsidR="00DB5CF2" w:rsidRPr="009956C4" w:rsidRDefault="00DB5CF2" w:rsidP="00DB5CF2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165294067"/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DB5CF2" w:rsidRPr="009956C4" w:rsidRDefault="00DB5CF2" w:rsidP="00DB5CF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B5CF2" w:rsidRPr="009956C4" w:rsidTr="005659EF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CF2" w:rsidRPr="009956C4" w:rsidRDefault="00DB5CF2" w:rsidP="005659E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B5CF2" w:rsidRPr="009956C4" w:rsidRDefault="00DB5CF2" w:rsidP="005659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B5CF2" w:rsidRPr="009956C4" w:rsidRDefault="00DB5CF2" w:rsidP="005659EF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B5CF2" w:rsidRPr="009956C4" w:rsidRDefault="00DB5CF2" w:rsidP="005659EF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DB5CF2" w:rsidRPr="009956C4" w:rsidRDefault="00DB5CF2" w:rsidP="005659E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B5CF2" w:rsidRPr="009956C4" w:rsidRDefault="00DB5CF2" w:rsidP="005659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B5CF2" w:rsidRPr="009956C4" w:rsidRDefault="00DB5CF2" w:rsidP="005659E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DB5CF2" w:rsidRPr="009956C4" w:rsidRDefault="00DB5CF2" w:rsidP="005659E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DB5CF2" w:rsidRPr="009956C4" w:rsidRDefault="00DB5CF2" w:rsidP="00DB5CF2">
      <w:pPr>
        <w:jc w:val="right"/>
        <w:rPr>
          <w:rFonts w:ascii="Arial" w:hAnsi="Arial" w:cs="Arial"/>
          <w:lang w:val="es-BO"/>
        </w:rPr>
      </w:pPr>
    </w:p>
    <w:p w:rsidR="00DB5CF2" w:rsidRPr="009956C4" w:rsidRDefault="00DB5CF2" w:rsidP="00DB5CF2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B5CF2" w:rsidRPr="009956C4" w:rsidRDefault="00DB5CF2" w:rsidP="00DB5CF2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B5CF2" w:rsidRPr="009956C4" w:rsidTr="005659EF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B5CF2" w:rsidRPr="009956C4" w:rsidTr="005659E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8851C1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5CF2" w:rsidRPr="009956C4" w:rsidTr="005659E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5CF2" w:rsidRPr="009956C4" w:rsidTr="005659E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C21C46" w:rsidRDefault="00DB5CF2" w:rsidP="005659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C21C4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C21C46" w:rsidRDefault="00DB5CF2" w:rsidP="005659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C21C4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C21C46" w:rsidRDefault="00DB5CF2" w:rsidP="005659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AD2CFB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DB5CF2" w:rsidRPr="006120CF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DB5CF2" w:rsidRPr="00AD2CFB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5CF2" w:rsidRPr="009956C4" w:rsidTr="005659EF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9956C4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9956C4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9956C4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A244D6" w:rsidTr="005659E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B5CF2" w:rsidRPr="00A244D6" w:rsidTr="005659E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5CF2" w:rsidRPr="00A244D6" w:rsidRDefault="00DB5CF2" w:rsidP="00565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5CF2" w:rsidRPr="00A244D6" w:rsidRDefault="00DB5CF2" w:rsidP="005659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5CF2" w:rsidRPr="00A244D6" w:rsidTr="005659E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5CF2" w:rsidRPr="00A244D6" w:rsidRDefault="00DB5CF2" w:rsidP="00565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5CF2" w:rsidRPr="00A244D6" w:rsidRDefault="00DB5CF2" w:rsidP="005659E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5CF2" w:rsidRPr="00A244D6" w:rsidRDefault="00DB5CF2" w:rsidP="005659E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B5CF2" w:rsidRPr="00A244D6" w:rsidRDefault="00DB5CF2" w:rsidP="005659E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DB5CF2" w:rsidRPr="00A244D6" w:rsidRDefault="00DB5CF2" w:rsidP="00DB5CF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B5CF2" w:rsidRPr="0077744B" w:rsidRDefault="00DB5CF2" w:rsidP="00DB5CF2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DB5CF2" w:rsidRDefault="00DB5CF2" w:rsidP="00DB5CF2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DB5CF2" w:rsidRDefault="00DB5CF2" w:rsidP="00DB5CF2">
      <w:pPr>
        <w:rPr>
          <w:lang w:val="es-BO"/>
        </w:rPr>
      </w:pPr>
    </w:p>
    <w:p w:rsidR="005659EF" w:rsidRDefault="005659EF"/>
    <w:sectPr w:rsidR="005659EF" w:rsidSect="005659E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64BC4"/>
    <w:multiLevelType w:val="multilevel"/>
    <w:tmpl w:val="B7CEF008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1D06296F"/>
    <w:multiLevelType w:val="hybridMultilevel"/>
    <w:tmpl w:val="A5BC9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F250D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79237DA"/>
    <w:multiLevelType w:val="multilevel"/>
    <w:tmpl w:val="CA9A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850B1F"/>
    <w:multiLevelType w:val="multilevel"/>
    <w:tmpl w:val="9BB60CD2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61B71"/>
    <w:multiLevelType w:val="hybridMultilevel"/>
    <w:tmpl w:val="DBA032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A610E"/>
    <w:multiLevelType w:val="multilevel"/>
    <w:tmpl w:val="B7CEF008"/>
    <w:lvl w:ilvl="0">
      <w:start w:val="1"/>
      <w:numFmt w:val="lowerLetter"/>
      <w:lvlText w:val="%1.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35"/>
  </w:num>
  <w:num w:numId="4">
    <w:abstractNumId w:val="32"/>
  </w:num>
  <w:num w:numId="5">
    <w:abstractNumId w:val="10"/>
  </w:num>
  <w:num w:numId="6">
    <w:abstractNumId w:val="30"/>
  </w:num>
  <w:num w:numId="7">
    <w:abstractNumId w:val="6"/>
  </w:num>
  <w:num w:numId="8">
    <w:abstractNumId w:val="4"/>
  </w:num>
  <w:num w:numId="9">
    <w:abstractNumId w:val="3"/>
  </w:num>
  <w:num w:numId="10">
    <w:abstractNumId w:val="23"/>
  </w:num>
  <w:num w:numId="11">
    <w:abstractNumId w:val="19"/>
  </w:num>
  <w:num w:numId="12">
    <w:abstractNumId w:val="22"/>
  </w:num>
  <w:num w:numId="13">
    <w:abstractNumId w:val="18"/>
  </w:num>
  <w:num w:numId="14">
    <w:abstractNumId w:val="9"/>
  </w:num>
  <w:num w:numId="15">
    <w:abstractNumId w:val="42"/>
  </w:num>
  <w:num w:numId="16">
    <w:abstractNumId w:val="5"/>
  </w:num>
  <w:num w:numId="17">
    <w:abstractNumId w:val="15"/>
  </w:num>
  <w:num w:numId="18">
    <w:abstractNumId w:val="21"/>
  </w:num>
  <w:num w:numId="19">
    <w:abstractNumId w:val="25"/>
  </w:num>
  <w:num w:numId="20">
    <w:abstractNumId w:val="41"/>
  </w:num>
  <w:num w:numId="21">
    <w:abstractNumId w:val="7"/>
  </w:num>
  <w:num w:numId="22">
    <w:abstractNumId w:val="11"/>
  </w:num>
  <w:num w:numId="23">
    <w:abstractNumId w:val="34"/>
  </w:num>
  <w:num w:numId="24">
    <w:abstractNumId w:val="1"/>
  </w:num>
  <w:num w:numId="25">
    <w:abstractNumId w:val="28"/>
  </w:num>
  <w:num w:numId="26">
    <w:abstractNumId w:val="13"/>
  </w:num>
  <w:num w:numId="27">
    <w:abstractNumId w:val="43"/>
  </w:num>
  <w:num w:numId="28">
    <w:abstractNumId w:val="36"/>
  </w:num>
  <w:num w:numId="29">
    <w:abstractNumId w:val="17"/>
  </w:num>
  <w:num w:numId="30">
    <w:abstractNumId w:val="26"/>
  </w:num>
  <w:num w:numId="31">
    <w:abstractNumId w:val="40"/>
  </w:num>
  <w:num w:numId="32">
    <w:abstractNumId w:val="16"/>
  </w:num>
  <w:num w:numId="33">
    <w:abstractNumId w:val="8"/>
  </w:num>
  <w:num w:numId="34">
    <w:abstractNumId w:val="33"/>
  </w:num>
  <w:num w:numId="35">
    <w:abstractNumId w:val="39"/>
  </w:num>
  <w:num w:numId="36">
    <w:abstractNumId w:val="3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F2"/>
    <w:rsid w:val="005659EF"/>
    <w:rsid w:val="00853F06"/>
    <w:rsid w:val="00BC0196"/>
    <w:rsid w:val="00D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5C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B5C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B5CF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B5CF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B5C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B5C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B5CF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B5C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B5C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C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B5C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5CF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B5CF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B5CF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B5CF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B5CF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B5C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B5CF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B5C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B5C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B5C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B5CF2"/>
    <w:rPr>
      <w:color w:val="0000FF"/>
      <w:u w:val="single"/>
    </w:rPr>
  </w:style>
  <w:style w:type="paragraph" w:styleId="Encabezado">
    <w:name w:val="header"/>
    <w:basedOn w:val="Normal"/>
    <w:link w:val="EncabezadoCar"/>
    <w:rsid w:val="00DB5C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B5C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5C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B5C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B5C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qFormat/>
    <w:rsid w:val="00DB5CF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B5CF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B5C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B5CF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B5C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B5C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B5C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B5CF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B5C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B5CF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5CF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DB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B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B5C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B5CF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B5CF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B5CF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B5C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B5C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B5C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DB5C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DB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B5CF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B5C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B5C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B5CF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B5CF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B5CF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B5CF2"/>
    <w:rPr>
      <w:vertAlign w:val="superscript"/>
    </w:rPr>
  </w:style>
  <w:style w:type="paragraph" w:customStyle="1" w:styleId="BodyText21">
    <w:name w:val="Body Text 21"/>
    <w:basedOn w:val="Normal"/>
    <w:rsid w:val="00DB5CF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B5CF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B5CF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B5CF2"/>
  </w:style>
  <w:style w:type="paragraph" w:customStyle="1" w:styleId="Document1">
    <w:name w:val="Document 1"/>
    <w:rsid w:val="00DB5CF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B5CF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B5CF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CF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B5CF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B5CF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B5CF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B5CF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B5CF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B5CF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B5CF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B5C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B5C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B5CF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B5CF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B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B5CF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B5CF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B5CF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B5C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B5CF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B5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B5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B5CF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B5CF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B5CF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B5C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qFormat/>
    <w:locked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DB5C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DB5CF2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DB5CF2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F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5CF2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B5CF2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B5CF2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B5CF2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B5CF2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B5CF2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B5CF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B5CF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B5CF2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CF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B5CF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B5CF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B5CF2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B5CF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B5CF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B5CF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B5C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B5CF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B5CF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B5CF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B5CF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B5CF2"/>
    <w:rPr>
      <w:color w:val="0000FF"/>
      <w:u w:val="single"/>
    </w:rPr>
  </w:style>
  <w:style w:type="paragraph" w:styleId="Encabezado">
    <w:name w:val="header"/>
    <w:basedOn w:val="Normal"/>
    <w:link w:val="EncabezadoCar"/>
    <w:rsid w:val="00DB5C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B5C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B5C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F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B5CF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B5CF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qFormat/>
    <w:rsid w:val="00DB5CF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B5CF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B5CF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B5CF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B5CF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B5CF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B5CF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DB5CF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B5CF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DB5CF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5CF2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DB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DB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DB5CF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B5CF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B5CF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DB5CF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B5CF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B5CF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B5CF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DB5C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DB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B5CF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DB5CF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B5CF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B5CF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B5CF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B5CF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B5CF2"/>
    <w:rPr>
      <w:vertAlign w:val="superscript"/>
    </w:rPr>
  </w:style>
  <w:style w:type="paragraph" w:customStyle="1" w:styleId="BodyText21">
    <w:name w:val="Body Text 21"/>
    <w:basedOn w:val="Normal"/>
    <w:rsid w:val="00DB5CF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B5CF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B5CF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B5CF2"/>
  </w:style>
  <w:style w:type="paragraph" w:customStyle="1" w:styleId="Document1">
    <w:name w:val="Document 1"/>
    <w:rsid w:val="00DB5CF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B5CF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B5CF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5CF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DB5CF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DB5CF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B5CF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B5CF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B5CF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B5CF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B5CF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B5CF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B5CF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B5CF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DB5CF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B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B5CF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DB5CF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B5CF2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B5CF2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B5CF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DB5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B5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B5CF2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B5CF2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B5CF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DB5C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qFormat/>
    <w:locked/>
    <w:rsid w:val="00DB5CF2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DB5C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DB5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DB5CF2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DB5CF2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cp:lastPrinted>2025-07-02T15:49:00Z</cp:lastPrinted>
  <dcterms:created xsi:type="dcterms:W3CDTF">2025-07-02T15:44:00Z</dcterms:created>
  <dcterms:modified xsi:type="dcterms:W3CDTF">2025-07-02T16:02:00Z</dcterms:modified>
</cp:coreProperties>
</file>